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980"/>
        <w:gridCol w:w="3402"/>
        <w:gridCol w:w="992"/>
        <w:gridCol w:w="2688"/>
      </w:tblGrid>
      <w:tr w:rsidR="007E3199" w14:paraId="6F28F4E7" w14:textId="77777777" w:rsidTr="00DC2FCE">
        <w:tc>
          <w:tcPr>
            <w:tcW w:w="1980" w:type="dxa"/>
            <w:shd w:val="clear" w:color="auto" w:fill="FFFF00"/>
          </w:tcPr>
          <w:p w14:paraId="58B37955" w14:textId="77777777" w:rsidR="007E3199" w:rsidRPr="00ED13EC" w:rsidRDefault="007E3199" w:rsidP="00A619CD">
            <w:pPr>
              <w:rPr>
                <w:b/>
                <w:bCs/>
              </w:rPr>
            </w:pPr>
            <w:bookmarkStart w:id="0" w:name="_Hlk33193466"/>
            <w:bookmarkStart w:id="1" w:name="_Hlk33190858"/>
            <w:r>
              <w:rPr>
                <w:b/>
                <w:bCs/>
              </w:rPr>
              <w:t>Quelques pistes pédagogiques pour…</w:t>
            </w:r>
          </w:p>
        </w:tc>
        <w:tc>
          <w:tcPr>
            <w:tcW w:w="3402" w:type="dxa"/>
            <w:shd w:val="clear" w:color="auto" w:fill="F1017A"/>
          </w:tcPr>
          <w:p w14:paraId="78429D06" w14:textId="57C77687" w:rsidR="007E3199" w:rsidRDefault="007E3199" w:rsidP="00A619CD">
            <w:r>
              <w:t>E</w:t>
            </w:r>
            <w:r w:rsidRPr="00867308">
              <w:rPr>
                <w:shd w:val="clear" w:color="auto" w:fill="F1017A"/>
              </w:rPr>
              <w:t>laborer des activités signifiantes pou</w:t>
            </w:r>
            <w:r w:rsidR="00867308" w:rsidRPr="00867308">
              <w:rPr>
                <w:shd w:val="clear" w:color="auto" w:fill="F1017A"/>
              </w:rPr>
              <w:t>r parler, écouter, lire, écrire</w:t>
            </w:r>
          </w:p>
        </w:tc>
        <w:tc>
          <w:tcPr>
            <w:tcW w:w="3680" w:type="dxa"/>
            <w:gridSpan w:val="2"/>
            <w:shd w:val="clear" w:color="auto" w:fill="BDD6EE" w:themeFill="accent5" w:themeFillTint="66"/>
          </w:tcPr>
          <w:p w14:paraId="2E8EE5A5" w14:textId="77777777" w:rsidR="007E3199" w:rsidRDefault="007E3199" w:rsidP="00A619CD">
            <w:pPr>
              <w:rPr>
                <w:i/>
                <w:iCs/>
              </w:rPr>
            </w:pPr>
            <w:r>
              <w:rPr>
                <w:i/>
                <w:iCs/>
              </w:rPr>
              <w:t>Des balises pour une planification.</w:t>
            </w:r>
          </w:p>
          <w:p w14:paraId="3B0CA529" w14:textId="4BD9068A" w:rsidR="007E3199" w:rsidRPr="00424E0A" w:rsidRDefault="007E3199" w:rsidP="00A619CD">
            <w:pPr>
              <w:rPr>
                <w:b/>
                <w:bCs/>
                <w:i/>
                <w:iCs/>
              </w:rPr>
            </w:pPr>
            <w:r w:rsidRPr="00424E0A">
              <w:rPr>
                <w:b/>
                <w:bCs/>
                <w:i/>
                <w:iCs/>
              </w:rPr>
              <w:t xml:space="preserve">Document </w:t>
            </w:r>
            <w:r>
              <w:rPr>
                <w:b/>
                <w:bCs/>
                <w:i/>
                <w:iCs/>
              </w:rPr>
              <w:t>20</w:t>
            </w:r>
            <w:r w:rsidRPr="00424E0A">
              <w:rPr>
                <w:b/>
                <w:bCs/>
                <w:i/>
                <w:iCs/>
              </w:rPr>
              <w:t>-</w:t>
            </w:r>
          </w:p>
        </w:tc>
      </w:tr>
      <w:tr w:rsidR="007E3199" w14:paraId="0655218A" w14:textId="77777777" w:rsidTr="00DC2FCE">
        <w:tc>
          <w:tcPr>
            <w:tcW w:w="1980" w:type="dxa"/>
            <w:shd w:val="clear" w:color="auto" w:fill="8A8820"/>
          </w:tcPr>
          <w:p w14:paraId="1148280C" w14:textId="1B8F4D78" w:rsidR="007E3199" w:rsidRDefault="007E3199" w:rsidP="00A619CD">
            <w:r>
              <w:t xml:space="preserve">Public : </w:t>
            </w:r>
            <w:r w:rsidR="00E82BE8">
              <w:t>TOUS</w:t>
            </w:r>
          </w:p>
        </w:tc>
        <w:tc>
          <w:tcPr>
            <w:tcW w:w="4394" w:type="dxa"/>
            <w:gridSpan w:val="2"/>
          </w:tcPr>
          <w:p w14:paraId="18351E04" w14:textId="21BCDB96" w:rsidR="007E3199" w:rsidRPr="00B10A7F" w:rsidRDefault="006E2332" w:rsidP="006E2332">
            <w:pPr>
              <w:jc w:val="both"/>
              <w:rPr>
                <w:b/>
                <w:bCs/>
              </w:rPr>
            </w:pPr>
            <w:r>
              <w:rPr>
                <w:b/>
                <w:bCs/>
              </w:rPr>
              <w:t xml:space="preserve">5.e. </w:t>
            </w:r>
            <w:r w:rsidR="007E3199" w:rsidRPr="006E2332">
              <w:rPr>
                <w:b/>
                <w:bCs/>
                <w:u w:val="single"/>
              </w:rPr>
              <w:t>Des projets autour de la littérature de jeunesse</w:t>
            </w:r>
            <w:r>
              <w:rPr>
                <w:b/>
                <w:bCs/>
              </w:rPr>
              <w:t> : organisons une sortie littéraire !</w:t>
            </w:r>
          </w:p>
        </w:tc>
        <w:tc>
          <w:tcPr>
            <w:tcW w:w="2688" w:type="dxa"/>
            <w:shd w:val="clear" w:color="auto" w:fill="8A8820"/>
          </w:tcPr>
          <w:p w14:paraId="48CD4822" w14:textId="244091A4" w:rsidR="007E3199" w:rsidRDefault="007E3199" w:rsidP="00A619CD">
            <w:r w:rsidRPr="00867308">
              <w:rPr>
                <w:shd w:val="clear" w:color="auto" w:fill="8A8820"/>
              </w:rPr>
              <w:t>Participer à un événement littéraire</w:t>
            </w:r>
            <w:r w:rsidR="00E82BE8" w:rsidRPr="00867308">
              <w:rPr>
                <w:shd w:val="clear" w:color="auto" w:fill="8A8820"/>
              </w:rPr>
              <w:t xml:space="preserve"> en dehors de l’école</w:t>
            </w:r>
          </w:p>
        </w:tc>
      </w:tr>
      <w:bookmarkEnd w:id="1"/>
    </w:tbl>
    <w:p w14:paraId="597FD3A1" w14:textId="77777777" w:rsidR="007E3199" w:rsidRPr="000579C9" w:rsidRDefault="007E3199" w:rsidP="007E3199"/>
    <w:tbl>
      <w:tblPr>
        <w:tblStyle w:val="Grilledutableau"/>
        <w:tblW w:w="0" w:type="auto"/>
        <w:tblLook w:val="04A0" w:firstRow="1" w:lastRow="0" w:firstColumn="1" w:lastColumn="0" w:noHBand="0" w:noVBand="1"/>
      </w:tblPr>
      <w:tblGrid>
        <w:gridCol w:w="2122"/>
        <w:gridCol w:w="6940"/>
      </w:tblGrid>
      <w:tr w:rsidR="007E3199" w14:paraId="53279E89" w14:textId="77777777" w:rsidTr="00A619CD">
        <w:trPr>
          <w:trHeight w:val="370"/>
        </w:trPr>
        <w:tc>
          <w:tcPr>
            <w:tcW w:w="2122" w:type="dxa"/>
          </w:tcPr>
          <w:p w14:paraId="17E6BA6E" w14:textId="77777777" w:rsidR="007E3199" w:rsidRDefault="007E3199" w:rsidP="00A619CD">
            <w:r>
              <w:t>Intérêt pédagogique</w:t>
            </w:r>
          </w:p>
          <w:p w14:paraId="098AD9DE" w14:textId="77777777" w:rsidR="007E3199" w:rsidRDefault="007E3199" w:rsidP="00A619CD"/>
        </w:tc>
        <w:tc>
          <w:tcPr>
            <w:tcW w:w="6940" w:type="dxa"/>
          </w:tcPr>
          <w:p w14:paraId="34D0F62B" w14:textId="07A6CFB2" w:rsidR="007E3199" w:rsidRDefault="007E3199" w:rsidP="00A619CD">
            <w:r>
              <w:t>De nombreuses rencontres avec les auteurs, les thématiques, les personnages,</w:t>
            </w:r>
            <w:r w:rsidR="006E2332">
              <w:t xml:space="preserve"> </w:t>
            </w:r>
            <w:r>
              <w:t xml:space="preserve">… sont cruciales pour offrir autant d’opportunités aux élèves de s’impliquer, de se projeter et de s’approprier </w:t>
            </w:r>
            <w:r w:rsidR="006E2332">
              <w:t xml:space="preserve">des </w:t>
            </w:r>
            <w:r>
              <w:t>œuvre</w:t>
            </w:r>
            <w:r w:rsidR="006E2332">
              <w:t>s</w:t>
            </w:r>
            <w:r>
              <w:t>.</w:t>
            </w:r>
          </w:p>
          <w:p w14:paraId="15428D6E" w14:textId="77777777" w:rsidR="007E3199" w:rsidRDefault="007E3199" w:rsidP="00A619CD">
            <w:r>
              <w:t xml:space="preserve">Si en tant qu’enseignant, on peut se sentir démuni pour faire découvrir la variété de la littérature jeunesse, il est possible de faire appel aux compétences des très nombreux médiateurs que sont les bibliothécaires, libraires, animateurs… </w:t>
            </w:r>
          </w:p>
          <w:p w14:paraId="35387D31" w14:textId="77777777" w:rsidR="007E3199" w:rsidRPr="00B767F4" w:rsidRDefault="007E3199" w:rsidP="00A619CD">
            <w:r>
              <w:t>Enfin, s’engager dans un projet en vue de préparer une sortie littéraire est une merveilleuse occasion de développer une expertise en la matière. Une sortie ne s’improvise pas et il ne suffit pas de mettre les enfants en contact avec des livres pour que la magie opère. Le rôle de l’enseignant est donc, à ce niveau, vraiment essentiel.</w:t>
            </w:r>
          </w:p>
        </w:tc>
      </w:tr>
      <w:tr w:rsidR="007E3199" w14:paraId="376FAB59" w14:textId="77777777" w:rsidTr="00A619CD">
        <w:trPr>
          <w:trHeight w:val="433"/>
        </w:trPr>
        <w:tc>
          <w:tcPr>
            <w:tcW w:w="2122" w:type="dxa"/>
          </w:tcPr>
          <w:p w14:paraId="31F9D087" w14:textId="77777777" w:rsidR="007E3199" w:rsidRDefault="007E3199" w:rsidP="00A619CD">
            <w:r>
              <w:t>Sujet</w:t>
            </w:r>
          </w:p>
        </w:tc>
        <w:tc>
          <w:tcPr>
            <w:tcW w:w="6940" w:type="dxa"/>
          </w:tcPr>
          <w:p w14:paraId="57C18DF4" w14:textId="48A0E03D" w:rsidR="007E3199" w:rsidRDefault="007E3199" w:rsidP="00A619CD">
            <w:r>
              <w:t>Préparation d’une sortie (</w:t>
            </w:r>
            <w:r w:rsidR="006E2332">
              <w:t xml:space="preserve">bibliothèque, </w:t>
            </w:r>
            <w:r>
              <w:t>foire du livre</w:t>
            </w:r>
            <w:r w:rsidR="006E2332">
              <w:t xml:space="preserve">, </w:t>
            </w:r>
            <w:r>
              <w:t>salon littéraire</w:t>
            </w:r>
            <w:r w:rsidR="006E2332">
              <w:t>, visite au Wolf, …</w:t>
            </w:r>
            <w:r>
              <w:t>)</w:t>
            </w:r>
          </w:p>
        </w:tc>
      </w:tr>
      <w:tr w:rsidR="007E3199" w14:paraId="3650130E" w14:textId="77777777" w:rsidTr="00A619CD">
        <w:trPr>
          <w:trHeight w:val="459"/>
        </w:trPr>
        <w:tc>
          <w:tcPr>
            <w:tcW w:w="2122" w:type="dxa"/>
          </w:tcPr>
          <w:p w14:paraId="520D49C7" w14:textId="77777777" w:rsidR="007E3199" w:rsidRDefault="007E3199" w:rsidP="00A619CD">
            <w:r>
              <w:t>Objectifs</w:t>
            </w:r>
          </w:p>
          <w:p w14:paraId="62D425F7" w14:textId="77777777" w:rsidR="007E3199" w:rsidRDefault="007E3199" w:rsidP="00A619CD"/>
        </w:tc>
        <w:tc>
          <w:tcPr>
            <w:tcW w:w="6940" w:type="dxa"/>
          </w:tcPr>
          <w:p w14:paraId="5E4228A4" w14:textId="77777777" w:rsidR="007E3199" w:rsidRDefault="006E2332" w:rsidP="00A619CD">
            <w:pPr>
              <w:rPr>
                <w:iCs/>
              </w:rPr>
            </w:pPr>
            <w:r>
              <w:rPr>
                <w:iCs/>
              </w:rPr>
              <w:t>-Permettre aux enfants d’être en contact direct avec un lieu de culture.</w:t>
            </w:r>
          </w:p>
          <w:p w14:paraId="3282DD4A" w14:textId="77777777" w:rsidR="006E2332" w:rsidRDefault="006E2332" w:rsidP="00A619CD">
            <w:pPr>
              <w:rPr>
                <w:iCs/>
              </w:rPr>
            </w:pPr>
            <w:r>
              <w:rPr>
                <w:iCs/>
              </w:rPr>
              <w:t>-Rencontrer des experts qui pourront apporter conseils et informations concernant la littérature de jeunesse.</w:t>
            </w:r>
          </w:p>
          <w:p w14:paraId="3A1798DC" w14:textId="29CACD60" w:rsidR="006E2332" w:rsidRPr="006E2332" w:rsidRDefault="006E2332" w:rsidP="00A619CD">
            <w:pPr>
              <w:rPr>
                <w:iCs/>
              </w:rPr>
            </w:pPr>
            <w:r>
              <w:rPr>
                <w:iCs/>
              </w:rPr>
              <w:t>-Élargir « le champ des possibles » en découvrant d’autres livres, d’autres maisons d’éditions, …</w:t>
            </w:r>
          </w:p>
        </w:tc>
      </w:tr>
      <w:tr w:rsidR="007E3199" w14:paraId="6D67BEFD" w14:textId="77777777" w:rsidTr="00A619CD">
        <w:trPr>
          <w:trHeight w:val="504"/>
        </w:trPr>
        <w:tc>
          <w:tcPr>
            <w:tcW w:w="2122" w:type="dxa"/>
          </w:tcPr>
          <w:p w14:paraId="38F7BF7A" w14:textId="731C601C" w:rsidR="007E3199" w:rsidRDefault="007E3199" w:rsidP="00A619CD">
            <w:r>
              <w:t>Consignes</w:t>
            </w:r>
            <w:r w:rsidR="006E2332">
              <w:t> / tâches</w:t>
            </w:r>
          </w:p>
          <w:p w14:paraId="1379786D" w14:textId="77777777" w:rsidR="007E3199" w:rsidRDefault="007E3199" w:rsidP="00A619CD"/>
        </w:tc>
        <w:tc>
          <w:tcPr>
            <w:tcW w:w="6940" w:type="dxa"/>
          </w:tcPr>
          <w:p w14:paraId="6E3089C2" w14:textId="67B0B52F" w:rsidR="006E2332" w:rsidRPr="00A906C4" w:rsidRDefault="00A906C4" w:rsidP="00A619CD">
            <w:pPr>
              <w:rPr>
                <w:i/>
                <w:iCs/>
              </w:rPr>
            </w:pPr>
            <w:r w:rsidRPr="00A906C4">
              <w:rPr>
                <w:i/>
                <w:iCs/>
              </w:rPr>
              <w:t>Une sortie se prépare… Il s’agira donc de penser aux questions suivantes :</w:t>
            </w:r>
          </w:p>
          <w:p w14:paraId="43620DA7" w14:textId="3B980F89" w:rsidR="007E3199" w:rsidRPr="00A906C4" w:rsidRDefault="00C25115" w:rsidP="00A619CD">
            <w:pPr>
              <w:rPr>
                <w:i/>
                <w:iCs/>
              </w:rPr>
            </w:pPr>
            <w:r>
              <w:rPr>
                <w:i/>
                <w:iCs/>
              </w:rPr>
              <w:t xml:space="preserve">-À </w:t>
            </w:r>
            <w:r w:rsidR="007E3199" w:rsidRPr="00A906C4">
              <w:rPr>
                <w:i/>
                <w:iCs/>
              </w:rPr>
              <w:t xml:space="preserve">quoi allez-vous les sensibiliser AVANT la sortie ? </w:t>
            </w:r>
          </w:p>
          <w:p w14:paraId="23B29AEF" w14:textId="77777777" w:rsidR="007E3199" w:rsidRPr="00A906C4" w:rsidRDefault="007E3199" w:rsidP="00A619CD">
            <w:pPr>
              <w:rPr>
                <w:i/>
                <w:iCs/>
              </w:rPr>
            </w:pPr>
            <w:r w:rsidRPr="00A906C4">
              <w:rPr>
                <w:i/>
                <w:iCs/>
              </w:rPr>
              <w:t xml:space="preserve">-Comment allez-vous gérer le temps de la visite ? PENDANT </w:t>
            </w:r>
          </w:p>
          <w:p w14:paraId="15EE7F72" w14:textId="51869DD3" w:rsidR="007E3199" w:rsidRPr="00A906C4" w:rsidRDefault="007E3199" w:rsidP="00A619CD">
            <w:pPr>
              <w:rPr>
                <w:i/>
                <w:iCs/>
              </w:rPr>
            </w:pPr>
            <w:r w:rsidRPr="00A906C4">
              <w:rPr>
                <w:i/>
                <w:iCs/>
              </w:rPr>
              <w:t>-Quelles suites seront données à cette sortie ? APRES</w:t>
            </w:r>
          </w:p>
          <w:p w14:paraId="34617B20" w14:textId="77777777" w:rsidR="00A906C4" w:rsidRDefault="00A906C4" w:rsidP="00A619CD"/>
          <w:p w14:paraId="799BE9DD" w14:textId="43B80BCA" w:rsidR="007E3199" w:rsidRDefault="007E3199" w:rsidP="00A619CD">
            <w:r>
              <w:sym w:font="Wingdings" w:char="F0E0"/>
            </w:r>
            <w:r w:rsidR="00A906C4">
              <w:t>Les tâches dépendront du lieu visité.</w:t>
            </w:r>
          </w:p>
        </w:tc>
      </w:tr>
      <w:tr w:rsidR="007E3199" w14:paraId="4BE5C076" w14:textId="77777777" w:rsidTr="00A619CD">
        <w:trPr>
          <w:trHeight w:val="376"/>
        </w:trPr>
        <w:tc>
          <w:tcPr>
            <w:tcW w:w="2122" w:type="dxa"/>
          </w:tcPr>
          <w:p w14:paraId="4016EBEB" w14:textId="77777777" w:rsidR="007E3199" w:rsidRDefault="007E3199" w:rsidP="00A619CD">
            <w:r>
              <w:t>Matériel</w:t>
            </w:r>
          </w:p>
        </w:tc>
        <w:tc>
          <w:tcPr>
            <w:tcW w:w="6940" w:type="dxa"/>
          </w:tcPr>
          <w:p w14:paraId="1F8952EF" w14:textId="77777777" w:rsidR="00A906C4" w:rsidRDefault="00A906C4" w:rsidP="00A619CD">
            <w:pPr>
              <w:rPr>
                <w:rFonts w:ascii="Arial" w:hAnsi="Arial" w:cs="Arial"/>
                <w:noProof/>
                <w:color w:val="1020D0"/>
                <w:sz w:val="20"/>
                <w:szCs w:val="20"/>
                <w:lang w:eastAsia="fr-BE"/>
              </w:rPr>
            </w:pPr>
          </w:p>
          <w:p w14:paraId="05EA40C3" w14:textId="6E7FD6E4" w:rsidR="00A906C4" w:rsidRPr="00A906C4" w:rsidRDefault="00A906C4" w:rsidP="00C25115">
            <w:pPr>
              <w:jc w:val="both"/>
              <w:rPr>
                <w:rFonts w:cs="Arial"/>
                <w:noProof/>
                <w:lang w:eastAsia="fr-BE"/>
              </w:rPr>
            </w:pPr>
            <w:r>
              <w:rPr>
                <w:rFonts w:cs="Arial"/>
                <w:noProof/>
                <w:lang w:eastAsia="fr-BE"/>
              </w:rPr>
              <w:t xml:space="preserve">-Pour l’enseignant, voici un livre bouillonnant de pistes concrètes pour familiariser les enfants avec la culture littéraire. On y trouve aussi des </w:t>
            </w:r>
            <w:r w:rsidR="004D7F8B">
              <w:rPr>
                <w:rFonts w:cs="Arial"/>
                <w:noProof/>
                <w:lang w:eastAsia="fr-BE"/>
              </w:rPr>
              <w:t>idées</w:t>
            </w:r>
            <w:r>
              <w:rPr>
                <w:rFonts w:cs="Arial"/>
                <w:noProof/>
                <w:lang w:eastAsia="fr-BE"/>
              </w:rPr>
              <w:t xml:space="preserve"> pour préparer une sortie avec les enfants.</w:t>
            </w:r>
          </w:p>
          <w:p w14:paraId="0ABB57C1" w14:textId="77777777" w:rsidR="00A906C4" w:rsidRDefault="00A906C4" w:rsidP="00A619CD">
            <w:pPr>
              <w:rPr>
                <w:rFonts w:ascii="Arial" w:hAnsi="Arial" w:cs="Arial"/>
                <w:noProof/>
                <w:color w:val="1020D0"/>
                <w:sz w:val="20"/>
                <w:szCs w:val="20"/>
                <w:lang w:eastAsia="fr-BE"/>
              </w:rPr>
            </w:pPr>
          </w:p>
          <w:p w14:paraId="7BB272B3" w14:textId="06C33B01" w:rsidR="007E3199" w:rsidRDefault="007E3199" w:rsidP="00A619CD">
            <w:r>
              <w:rPr>
                <w:rFonts w:ascii="Arial" w:hAnsi="Arial" w:cs="Arial"/>
                <w:noProof/>
                <w:color w:val="1020D0"/>
                <w:sz w:val="20"/>
                <w:szCs w:val="20"/>
                <w:lang w:eastAsia="fr-BE"/>
              </w:rPr>
              <w:drawing>
                <wp:inline distT="0" distB="0" distL="0" distR="0" wp14:anchorId="0AE2A6E9" wp14:editId="3429F603">
                  <wp:extent cx="1424030" cy="1424030"/>
                  <wp:effectExtent l="0" t="0" r="5080" b="5080"/>
                  <wp:docPr id="54" name="Image 54" descr="http://tse1.mm.bing.net/th?&amp;id=OIP.Ma34c4bef876d7e80e6afe00b21426c3do0&amp;w=158&amp;h=158&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se1.mm.bing.net/th?&amp;id=OIP.Ma34c4bef876d7e80e6afe00b21426c3do0&amp;w=158&amp;h=158&amp;c=0&amp;pid=1.9&amp;rs=0&amp;p=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386" cy="1428386"/>
                          </a:xfrm>
                          <a:prstGeom prst="rect">
                            <a:avLst/>
                          </a:prstGeom>
                          <a:noFill/>
                          <a:ln>
                            <a:noFill/>
                          </a:ln>
                        </pic:spPr>
                      </pic:pic>
                    </a:graphicData>
                  </a:graphic>
                </wp:inline>
              </w:drawing>
            </w:r>
          </w:p>
          <w:p w14:paraId="4FFEBE15" w14:textId="77F7436D" w:rsidR="007E3199" w:rsidRDefault="004D7F8B" w:rsidP="00A619CD">
            <w:r>
              <w:t xml:space="preserve">Christian </w:t>
            </w:r>
            <w:proofErr w:type="spellStart"/>
            <w:r>
              <w:t>Poslaniec</w:t>
            </w:r>
            <w:proofErr w:type="spellEnd"/>
            <w:r>
              <w:t>.</w:t>
            </w:r>
          </w:p>
          <w:p w14:paraId="4A9433CE" w14:textId="77777777" w:rsidR="004D7F8B" w:rsidRDefault="004D7F8B" w:rsidP="00A619CD">
            <w:r>
              <w:t>Donner le goût de lire.</w:t>
            </w:r>
          </w:p>
          <w:p w14:paraId="07E734EB" w14:textId="0A7F8F3C" w:rsidR="004D7F8B" w:rsidRDefault="004D7F8B" w:rsidP="00A619CD">
            <w:r>
              <w:t>Éd. De la Martinière.</w:t>
            </w:r>
          </w:p>
        </w:tc>
      </w:tr>
    </w:tbl>
    <w:p w14:paraId="48154556" w14:textId="3936FBCC" w:rsidR="007E3199" w:rsidRDefault="007E3199" w:rsidP="007E3199"/>
    <w:p w14:paraId="0D668393" w14:textId="57835B15" w:rsidR="004D7F8B" w:rsidRDefault="004D7F8B" w:rsidP="007E3199"/>
    <w:p w14:paraId="654A18F5" w14:textId="67CD1C97" w:rsidR="004D7F8B" w:rsidRDefault="005265E8" w:rsidP="007E3199">
      <w:pPr>
        <w:rPr>
          <w:b/>
          <w:bCs/>
          <w:u w:val="single"/>
        </w:rPr>
      </w:pPr>
      <w:r>
        <w:rPr>
          <w:b/>
          <w:bCs/>
          <w:u w:val="single"/>
        </w:rPr>
        <w:t>Quelques informations concernant une sortie au Wolf, la maison de la littérature de jeunesse à Bruxelles.</w:t>
      </w:r>
    </w:p>
    <w:p w14:paraId="42CEB8AD" w14:textId="2BC949EA" w:rsidR="005265E8" w:rsidRDefault="00DC2FCE" w:rsidP="007E3199">
      <w:hyperlink r:id="rId8" w:history="1">
        <w:r w:rsidR="005265E8" w:rsidRPr="008F2E00">
          <w:rPr>
            <w:rStyle w:val="Lienhypertexte"/>
          </w:rPr>
          <w:t>http://www.lewolf.be/</w:t>
        </w:r>
      </w:hyperlink>
    </w:p>
    <w:p w14:paraId="66A75846" w14:textId="6AB2BDBD" w:rsidR="005265E8" w:rsidRPr="005265E8" w:rsidRDefault="005265E8" w:rsidP="005265E8">
      <w:pPr>
        <w:shd w:val="clear" w:color="auto" w:fill="FFFFFF"/>
        <w:spacing w:before="100" w:beforeAutospacing="1" w:after="100" w:afterAutospacing="1" w:line="240" w:lineRule="auto"/>
        <w:jc w:val="both"/>
        <w:outlineLvl w:val="1"/>
        <w:rPr>
          <w:rFonts w:eastAsia="Times New Roman" w:cs="Times New Roman"/>
          <w:i/>
          <w:lang w:eastAsia="fr-BE"/>
        </w:rPr>
      </w:pPr>
      <w:r>
        <w:rPr>
          <w:rFonts w:eastAsia="Times New Roman" w:cs="Times New Roman"/>
          <w:i/>
          <w:lang w:eastAsia="fr-BE"/>
        </w:rPr>
        <w:t>« </w:t>
      </w:r>
      <w:r w:rsidRPr="005265E8">
        <w:rPr>
          <w:rFonts w:eastAsia="Times New Roman" w:cs="Times New Roman"/>
          <w:i/>
          <w:lang w:eastAsia="fr-BE"/>
        </w:rPr>
        <w:t xml:space="preserve">Le Wolf propose des ateliers pour enfants, en scolaire ou en famille, des rencontres pour les grands, des expos itinérantes mais aussi des histoires à écouter dans notre juke-box à histoires, des rencontres avec des auteurs et des illustrateurs, une bibliothèque insolite pour découvrir des albums extraordinaires... </w:t>
      </w:r>
    </w:p>
    <w:p w14:paraId="3CF2612D" w14:textId="77777777" w:rsidR="005265E8" w:rsidRPr="005265E8" w:rsidRDefault="005265E8" w:rsidP="00C25115">
      <w:pPr>
        <w:shd w:val="clear" w:color="auto" w:fill="FFFFFF"/>
        <w:spacing w:before="100" w:beforeAutospacing="1" w:after="100" w:afterAutospacing="1" w:line="240" w:lineRule="auto"/>
        <w:jc w:val="both"/>
        <w:outlineLvl w:val="2"/>
        <w:rPr>
          <w:rFonts w:eastAsia="Times New Roman" w:cs="Times New Roman"/>
          <w:i/>
          <w:lang w:eastAsia="fr-BE"/>
        </w:rPr>
      </w:pPr>
      <w:r w:rsidRPr="005265E8">
        <w:rPr>
          <w:rFonts w:eastAsia="Times New Roman" w:cs="Times New Roman"/>
          <w:i/>
          <w:lang w:eastAsia="fr-BE"/>
        </w:rPr>
        <w:t>Mais le Wolf, c'est aussi La Boutique du Loup pour repartir avec le livre rêvé et La Cantine du Chaperon qui vous propose des spécialités SUCREES à la sauce des contes de fées.</w:t>
      </w:r>
    </w:p>
    <w:p w14:paraId="3986DCD5" w14:textId="6F6014B2" w:rsidR="005265E8" w:rsidRPr="005265E8" w:rsidRDefault="005265E8" w:rsidP="005265E8">
      <w:pPr>
        <w:shd w:val="clear" w:color="auto" w:fill="FFFFFF"/>
        <w:spacing w:before="100" w:beforeAutospacing="1" w:after="100" w:afterAutospacing="1" w:line="240" w:lineRule="auto"/>
        <w:outlineLvl w:val="2"/>
        <w:rPr>
          <w:rFonts w:eastAsia="Times New Roman" w:cs="Times New Roman"/>
          <w:i/>
          <w:lang w:eastAsia="fr-BE"/>
        </w:rPr>
      </w:pPr>
      <w:r w:rsidRPr="005265E8">
        <w:rPr>
          <w:rFonts w:eastAsia="Times New Roman" w:cs="Times New Roman"/>
          <w:i/>
          <w:lang w:eastAsia="fr-BE"/>
        </w:rPr>
        <w:t xml:space="preserve">Et, depuis 2019 qui marque les 10 ans du WOLF, venez rencontrer </w:t>
      </w:r>
      <w:r w:rsidRPr="005265E8">
        <w:rPr>
          <w:rFonts w:eastAsia="Times New Roman" w:cs="Times New Roman"/>
          <w:i/>
          <w:lang w:eastAsia="fr-BE"/>
        </w:rPr>
        <w:br/>
        <w:t>Freddy Leloup qui dort dans la maison des contes !</w:t>
      </w:r>
      <w:r>
        <w:rPr>
          <w:rFonts w:eastAsia="Times New Roman" w:cs="Times New Roman"/>
          <w:i/>
          <w:lang w:eastAsia="fr-BE"/>
        </w:rPr>
        <w:t> »</w:t>
      </w:r>
    </w:p>
    <w:p w14:paraId="148FBAF7" w14:textId="67CD5B39" w:rsidR="005265E8" w:rsidRDefault="005265E8" w:rsidP="005265E8">
      <w:pPr>
        <w:jc w:val="center"/>
        <w:rPr>
          <w:b/>
          <w:bCs/>
          <w:i/>
          <w:u w:val="single"/>
        </w:rPr>
      </w:pPr>
      <w:r>
        <w:rPr>
          <w:noProof/>
          <w:lang w:eastAsia="fr-BE"/>
        </w:rPr>
        <w:drawing>
          <wp:inline distT="0" distB="0" distL="0" distR="0" wp14:anchorId="40E3AE1F" wp14:editId="64673E49">
            <wp:extent cx="5135880" cy="3127271"/>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8746" cy="3153372"/>
                    </a:xfrm>
                    <a:prstGeom prst="rect">
                      <a:avLst/>
                    </a:prstGeom>
                  </pic:spPr>
                </pic:pic>
              </a:graphicData>
            </a:graphic>
          </wp:inline>
        </w:drawing>
      </w:r>
    </w:p>
    <w:p w14:paraId="31011363" w14:textId="5630F7DF" w:rsidR="00F23A06" w:rsidRPr="007E3199" w:rsidRDefault="005265E8" w:rsidP="007E3199">
      <w:r>
        <w:rPr>
          <w:noProof/>
          <w:lang w:eastAsia="fr-BE"/>
        </w:rPr>
        <w:lastRenderedPageBreak/>
        <w:drawing>
          <wp:inline distT="0" distB="0" distL="0" distR="0" wp14:anchorId="338BDDC4" wp14:editId="1DCDF509">
            <wp:extent cx="1807585" cy="267208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7600" cy="2701668"/>
                    </a:xfrm>
                    <a:prstGeom prst="rect">
                      <a:avLst/>
                    </a:prstGeom>
                  </pic:spPr>
                </pic:pic>
              </a:graphicData>
            </a:graphic>
          </wp:inline>
        </w:drawing>
      </w:r>
      <w:r>
        <w:rPr>
          <w:b/>
          <w:bCs/>
          <w:i/>
          <w:u w:val="single"/>
        </w:rPr>
        <w:t xml:space="preserve"> </w:t>
      </w:r>
      <w:r>
        <w:rPr>
          <w:noProof/>
        </w:rPr>
        <w:t xml:space="preserve"> </w:t>
      </w:r>
      <w:r>
        <w:rPr>
          <w:noProof/>
          <w:lang w:eastAsia="fr-BE"/>
        </w:rPr>
        <w:drawing>
          <wp:inline distT="0" distB="0" distL="0" distR="0" wp14:anchorId="162FEF07" wp14:editId="41655A5F">
            <wp:extent cx="2052955" cy="2677208"/>
            <wp:effectExtent l="0" t="0" r="444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5688" cy="2693813"/>
                    </a:xfrm>
                    <a:prstGeom prst="rect">
                      <a:avLst/>
                    </a:prstGeom>
                  </pic:spPr>
                </pic:pic>
              </a:graphicData>
            </a:graphic>
          </wp:inline>
        </w:drawing>
      </w:r>
      <w:r>
        <w:rPr>
          <w:noProof/>
        </w:rPr>
        <w:t xml:space="preserve"> </w:t>
      </w:r>
      <w:r>
        <w:rPr>
          <w:noProof/>
          <w:lang w:eastAsia="fr-BE"/>
        </w:rPr>
        <w:drawing>
          <wp:inline distT="0" distB="0" distL="0" distR="0" wp14:anchorId="46B0B598" wp14:editId="20F024F5">
            <wp:extent cx="1645920" cy="16459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bookmarkStart w:id="2" w:name="_GoBack"/>
      <w:bookmarkEnd w:id="0"/>
      <w:bookmarkEnd w:id="2"/>
    </w:p>
    <w:sectPr w:rsidR="00F23A06" w:rsidRPr="007E3199" w:rsidSect="00C0078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4B61A" w14:textId="77777777" w:rsidR="00867308" w:rsidRDefault="00867308" w:rsidP="00867308">
      <w:pPr>
        <w:spacing w:after="0" w:line="240" w:lineRule="auto"/>
      </w:pPr>
      <w:r>
        <w:separator/>
      </w:r>
    </w:p>
  </w:endnote>
  <w:endnote w:type="continuationSeparator" w:id="0">
    <w:p w14:paraId="63414AA7" w14:textId="77777777" w:rsidR="00867308" w:rsidRDefault="00867308" w:rsidP="0086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53BA9" w14:textId="77777777" w:rsidR="00867308" w:rsidRDefault="00867308" w:rsidP="00867308">
      <w:pPr>
        <w:spacing w:after="0" w:line="240" w:lineRule="auto"/>
      </w:pPr>
      <w:r>
        <w:separator/>
      </w:r>
    </w:p>
  </w:footnote>
  <w:footnote w:type="continuationSeparator" w:id="0">
    <w:p w14:paraId="0F2B93C3" w14:textId="77777777" w:rsidR="00867308" w:rsidRDefault="00867308" w:rsidP="0086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AAED" w14:textId="77A7FDF4" w:rsidR="00867308" w:rsidRDefault="00867308">
    <w:pPr>
      <w:pStyle w:val="En-tte"/>
    </w:pPr>
    <w:r w:rsidRPr="00867308">
      <w:rPr>
        <w:noProof/>
        <w:lang w:eastAsia="fr-BE"/>
      </w:rPr>
      <w:drawing>
        <wp:anchor distT="0" distB="0" distL="114300" distR="114300" simplePos="0" relativeHeight="251658240" behindDoc="0" locked="0" layoutInCell="1" allowOverlap="1" wp14:anchorId="43D3632D" wp14:editId="19485474">
          <wp:simplePos x="0" y="0"/>
          <wp:positionH relativeFrom="page">
            <wp:align>right</wp:align>
          </wp:positionH>
          <wp:positionV relativeFrom="page">
            <wp:align>top</wp:align>
          </wp:positionV>
          <wp:extent cx="1320800" cy="1403985"/>
          <wp:effectExtent l="0" t="0" r="0" b="5715"/>
          <wp:wrapSquare wrapText="bothSides"/>
          <wp:docPr id="5" name="Image 5" descr="C:\Users\Stagiaire1\Desktop\23avril2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giaire1\Desktop\23avril2 -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6"/>
    <w:rsid w:val="00201FD9"/>
    <w:rsid w:val="004C3DA8"/>
    <w:rsid w:val="004D7F8B"/>
    <w:rsid w:val="005265E8"/>
    <w:rsid w:val="006E2332"/>
    <w:rsid w:val="00734ED5"/>
    <w:rsid w:val="007E3199"/>
    <w:rsid w:val="00832458"/>
    <w:rsid w:val="00867308"/>
    <w:rsid w:val="00A906C4"/>
    <w:rsid w:val="00B00C9E"/>
    <w:rsid w:val="00B137F2"/>
    <w:rsid w:val="00B325EB"/>
    <w:rsid w:val="00C00784"/>
    <w:rsid w:val="00C2201A"/>
    <w:rsid w:val="00C25115"/>
    <w:rsid w:val="00CB6073"/>
    <w:rsid w:val="00DC2FCE"/>
    <w:rsid w:val="00DD5777"/>
    <w:rsid w:val="00E82BE8"/>
    <w:rsid w:val="00F23A06"/>
    <w:rsid w:val="00F36C92"/>
    <w:rsid w:val="00F70B73"/>
    <w:rsid w:val="00FE04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DE34F"/>
  <w15:chartTrackingRefBased/>
  <w15:docId w15:val="{376B36C7-D659-464C-9BAE-721906EE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23A06"/>
    <w:rPr>
      <w:color w:val="0563C1" w:themeColor="hyperlink"/>
      <w:u w:val="single"/>
    </w:rPr>
  </w:style>
  <w:style w:type="paragraph" w:styleId="Textedebulles">
    <w:name w:val="Balloon Text"/>
    <w:basedOn w:val="Normal"/>
    <w:link w:val="TextedebullesCar"/>
    <w:uiPriority w:val="99"/>
    <w:semiHidden/>
    <w:unhideWhenUsed/>
    <w:rsid w:val="006E23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2332"/>
    <w:rPr>
      <w:rFonts w:ascii="Segoe UI" w:hAnsi="Segoe UI" w:cs="Segoe UI"/>
      <w:sz w:val="18"/>
      <w:szCs w:val="18"/>
    </w:rPr>
  </w:style>
  <w:style w:type="character" w:customStyle="1" w:styleId="UnresolvedMention">
    <w:name w:val="Unresolved Mention"/>
    <w:basedOn w:val="Policepardfaut"/>
    <w:uiPriority w:val="99"/>
    <w:semiHidden/>
    <w:unhideWhenUsed/>
    <w:rsid w:val="005265E8"/>
    <w:rPr>
      <w:color w:val="605E5C"/>
      <w:shd w:val="clear" w:color="auto" w:fill="E1DFDD"/>
    </w:rPr>
  </w:style>
  <w:style w:type="paragraph" w:styleId="En-tte">
    <w:name w:val="header"/>
    <w:basedOn w:val="Normal"/>
    <w:link w:val="En-tteCar"/>
    <w:uiPriority w:val="99"/>
    <w:unhideWhenUsed/>
    <w:rsid w:val="00867308"/>
    <w:pPr>
      <w:tabs>
        <w:tab w:val="center" w:pos="4536"/>
        <w:tab w:val="right" w:pos="9072"/>
      </w:tabs>
      <w:spacing w:after="0" w:line="240" w:lineRule="auto"/>
    </w:pPr>
  </w:style>
  <w:style w:type="character" w:customStyle="1" w:styleId="En-tteCar">
    <w:name w:val="En-tête Car"/>
    <w:basedOn w:val="Policepardfaut"/>
    <w:link w:val="En-tte"/>
    <w:uiPriority w:val="99"/>
    <w:rsid w:val="00867308"/>
  </w:style>
  <w:style w:type="paragraph" w:styleId="Pieddepage">
    <w:name w:val="footer"/>
    <w:basedOn w:val="Normal"/>
    <w:link w:val="PieddepageCar"/>
    <w:uiPriority w:val="99"/>
    <w:unhideWhenUsed/>
    <w:rsid w:val="008673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1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wolf.b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images/search?q=donner+le+go%c3%bbt+de+lire+poslaniec&amp;view=detailv2&amp;&amp;id=B78D72F7E19073C3C18BDFAC70240666E90AD0CD&amp;selectedIndex=0&amp;ccid=o0xL74dt&amp;simid=608021195095805846&amp;thid=OIP.Ma34c4bef876d7e80e6afe00b21426c3do0"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444</Words>
  <Characters>2445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Jannique Koeks</dc:creator>
  <cp:keywords/>
  <dc:description/>
  <cp:lastModifiedBy>Stagiaire1</cp:lastModifiedBy>
  <cp:revision>21</cp:revision>
  <cp:lastPrinted>2020-03-09T10:36:00Z</cp:lastPrinted>
  <dcterms:created xsi:type="dcterms:W3CDTF">2019-09-06T13:44:00Z</dcterms:created>
  <dcterms:modified xsi:type="dcterms:W3CDTF">2020-03-09T10:36:00Z</dcterms:modified>
</cp:coreProperties>
</file>